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276"/>
        <w:gridCol w:w="1974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方案名称</w:t>
            </w:r>
          </w:p>
        </w:tc>
        <w:tc>
          <w:tcPr>
            <w:tcW w:w="824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cs="PMingLiU"/>
                <w:b/>
                <w:sz w:val="32"/>
                <w:szCs w:val="32"/>
              </w:rPr>
              <w:t>微磅系统修改</w:t>
            </w:r>
            <w:r>
              <w:rPr>
                <w:rFonts w:hint="eastAsia" w:ascii="宋体" w:hAnsi="宋体" w:cs="PMingLiU"/>
                <w:b/>
                <w:sz w:val="32"/>
                <w:szCs w:val="32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客户名称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hint="eastAsia" w:ascii="宋体" w:cs="PMingLiU"/>
                <w:bCs/>
              </w:rPr>
            </w:pPr>
            <w:r>
              <w:rPr>
                <w:rFonts w:hint="eastAsia" w:ascii="宋体" w:hAnsi="宋体" w:cs="PMingLiU"/>
                <w:bCs/>
                <w:sz w:val="24"/>
              </w:rPr>
              <w:t>广</w:t>
            </w:r>
            <w:r>
              <w:rPr>
                <w:rFonts w:ascii="宋体" w:hAnsi="宋体" w:cs="PMingLiU"/>
                <w:bCs/>
                <w:sz w:val="24"/>
              </w:rPr>
              <w:t>硕协荣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cs="PMingLiU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作成日期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 w:eastAsia="PMingLiU"/>
                <w:lang w:eastAsia="zh-TW"/>
              </w:rPr>
            </w:pPr>
            <w:r>
              <w:rPr>
                <w:rFonts w:ascii="宋体" w:hAnsi="宋体" w:cs="PMingLiU"/>
                <w:bCs/>
                <w:sz w:val="24"/>
              </w:rPr>
              <w:t>2019.5.16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作成人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="宋体" w:hAnsi="宋体" w:eastAsia="PMingLiU"/>
                <w:lang w:eastAsia="zh-TW"/>
              </w:rPr>
            </w:pPr>
            <w:r>
              <w:rPr>
                <w:rFonts w:hint="eastAsia" w:ascii="宋体" w:hAnsi="宋体"/>
                <w:lang w:eastAsia="zh-TW"/>
              </w:rPr>
              <w:t>杨小亮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审核人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客户要求</w:t>
            </w:r>
          </w:p>
        </w:tc>
        <w:tc>
          <w:tcPr>
            <w:tcW w:w="8241" w:type="dxa"/>
            <w:gridSpan w:val="3"/>
            <w:vAlign w:val="center"/>
          </w:tcPr>
          <w:p>
            <w:pPr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增加</w:t>
            </w:r>
            <w:r>
              <w:rPr>
                <w:rFonts w:ascii="宋体" w:hAnsi="宋体"/>
                <w:kern w:val="0"/>
              </w:rPr>
              <w:t>独立权限管理配方及</w:t>
            </w:r>
            <w:r>
              <w:rPr>
                <w:rFonts w:hint="eastAsia" w:ascii="宋体" w:hAnsi="宋体"/>
                <w:kern w:val="0"/>
              </w:rPr>
              <w:t>生</w:t>
            </w:r>
            <w:r>
              <w:rPr>
                <w:rFonts w:ascii="宋体" w:hAnsi="宋体"/>
                <w:kern w:val="0"/>
              </w:rPr>
              <w:t>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3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解决方案</w:t>
            </w:r>
          </w:p>
        </w:tc>
        <w:tc>
          <w:tcPr>
            <w:tcW w:w="8241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添加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A、B两个角色，将level-l和level-2改为level-lA、level-2B;去掉level-3用户。A和level-lA为经理(对外)权限，B和level-2B为员工(对内)权限。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在</w:t>
            </w:r>
            <w:r>
              <w:rPr>
                <w:rFonts w:ascii="宋体"/>
              </w:rPr>
              <w:t>配方表、工单</w:t>
            </w:r>
            <w:r>
              <w:rPr>
                <w:rFonts w:hint="eastAsia" w:ascii="宋体"/>
              </w:rPr>
              <w:t>表中分别</w:t>
            </w:r>
            <w:r>
              <w:rPr>
                <w:rFonts w:ascii="宋体"/>
              </w:rPr>
              <w:t>增加</w:t>
            </w:r>
            <w:r>
              <w:rPr>
                <w:rFonts w:hint="eastAsia" w:ascii="宋体"/>
              </w:rPr>
              <w:t>“经</w:t>
            </w:r>
            <w:r>
              <w:rPr>
                <w:rFonts w:ascii="宋体"/>
              </w:rPr>
              <w:t>理</w:t>
            </w:r>
            <w:r>
              <w:rPr>
                <w:rFonts w:hint="eastAsia" w:ascii="宋体"/>
              </w:rPr>
              <w:t>/员</w:t>
            </w:r>
            <w:r>
              <w:rPr>
                <w:rFonts w:ascii="宋体"/>
              </w:rPr>
              <w:t>工</w:t>
            </w:r>
            <w:r>
              <w:rPr>
                <w:rFonts w:hint="eastAsia" w:ascii="宋体"/>
              </w:rPr>
              <w:t>”区分</w:t>
            </w:r>
            <w:r>
              <w:rPr>
                <w:rFonts w:ascii="宋体"/>
              </w:rPr>
              <w:t>字段</w:t>
            </w:r>
            <w:bookmarkStart w:id="0" w:name="_GoBack"/>
            <w:bookmarkEnd w:id="0"/>
            <w:r>
              <w:rPr>
                <w:rFonts w:ascii="宋体"/>
              </w:rPr>
              <w:t>，</w:t>
            </w:r>
            <w:r>
              <w:rPr>
                <w:rFonts w:hint="eastAsia" w:ascii="宋体"/>
              </w:rPr>
              <w:t>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A和level-lA</w:t>
            </w:r>
            <w:r>
              <w:rPr>
                <w:rFonts w:ascii="宋体"/>
              </w:rPr>
              <w:t>维护配方和工单时，该字段默认为“</w:t>
            </w:r>
            <w:r>
              <w:rPr>
                <w:rFonts w:hint="eastAsia" w:ascii="宋体"/>
              </w:rPr>
              <w:t>经</w:t>
            </w:r>
            <w:r>
              <w:rPr>
                <w:rFonts w:ascii="宋体"/>
              </w:rPr>
              <w:t>理”</w:t>
            </w:r>
            <w:r>
              <w:rPr>
                <w:rFonts w:hint="eastAsia" w:ascii="宋体"/>
              </w:rPr>
              <w:t>，</w:t>
            </w:r>
            <w:r>
              <w:rPr>
                <w:rFonts w:ascii="宋体"/>
              </w:rPr>
              <w:t>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B和level-2B</w:t>
            </w:r>
            <w:r>
              <w:rPr>
                <w:rFonts w:ascii="宋体"/>
              </w:rPr>
              <w:t>限则为“</w:t>
            </w:r>
            <w:r>
              <w:rPr>
                <w:rFonts w:hint="eastAsia" w:ascii="宋体"/>
                <w:lang w:eastAsia="zh-CN"/>
              </w:rPr>
              <w:t>员工</w:t>
            </w:r>
            <w:r>
              <w:rPr>
                <w:rFonts w:ascii="宋体"/>
              </w:rPr>
              <w:t>”</w:t>
            </w:r>
            <w:r>
              <w:rPr>
                <w:rFonts w:hint="eastAsia" w:ascii="宋体"/>
              </w:rPr>
              <w:t>，</w:t>
            </w:r>
            <w:r>
              <w:rPr>
                <w:rFonts w:ascii="宋体"/>
              </w:rPr>
              <w:t>用机台管理员维护时，则显示“</w:t>
            </w:r>
            <w:r>
              <w:rPr>
                <w:rFonts w:hint="eastAsia" w:ascii="宋体"/>
              </w:rPr>
              <w:t>员</w:t>
            </w:r>
            <w:r>
              <w:rPr>
                <w:rFonts w:ascii="宋体"/>
              </w:rPr>
              <w:t>工</w:t>
            </w:r>
            <w:r>
              <w:rPr>
                <w:rFonts w:hint="eastAsia" w:ascii="宋体"/>
              </w:rPr>
              <w:t>/经</w:t>
            </w:r>
            <w:r>
              <w:rPr>
                <w:rFonts w:ascii="宋体"/>
              </w:rPr>
              <w:t>理”</w:t>
            </w:r>
            <w:r>
              <w:rPr>
                <w:rFonts w:hint="eastAsia" w:ascii="宋体"/>
              </w:rPr>
              <w:t>选</w:t>
            </w:r>
            <w:r>
              <w:rPr>
                <w:rFonts w:ascii="宋体"/>
              </w:rPr>
              <w:t>择控</w:t>
            </w:r>
            <w:r>
              <w:rPr>
                <w:rFonts w:hint="eastAsia" w:ascii="宋体"/>
              </w:rPr>
              <w:t>件</w:t>
            </w:r>
            <w:r>
              <w:rPr>
                <w:rFonts w:ascii="宋体"/>
              </w:rPr>
              <w:t>让管理员指定</w:t>
            </w:r>
            <w:r>
              <w:rPr>
                <w:rFonts w:hint="eastAsia" w:ascii="宋体"/>
              </w:rPr>
              <w:t>属</w:t>
            </w:r>
            <w:r>
              <w:rPr>
                <w:rFonts w:ascii="宋体"/>
              </w:rPr>
              <w:t>于哪一类；</w:t>
            </w:r>
          </w:p>
          <w:p>
            <w:pPr>
              <w:pStyle w:val="9"/>
              <w:spacing w:line="360" w:lineRule="auto"/>
              <w:ind w:left="39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员</w:t>
            </w:r>
            <w:r>
              <w:rPr>
                <w:rFonts w:ascii="宋体"/>
              </w:rPr>
              <w:t>工权限登录时，只能看到</w:t>
            </w:r>
            <w:r>
              <w:rPr>
                <w:rFonts w:hint="eastAsia" w:ascii="宋体"/>
              </w:rPr>
              <w:t>“员</w:t>
            </w:r>
            <w:r>
              <w:rPr>
                <w:rFonts w:ascii="宋体"/>
              </w:rPr>
              <w:t>工</w:t>
            </w:r>
            <w:r>
              <w:rPr>
                <w:rFonts w:hint="eastAsia" w:ascii="宋体"/>
              </w:rPr>
              <w:t>”类别</w:t>
            </w:r>
            <w:r>
              <w:rPr>
                <w:rFonts w:ascii="宋体"/>
              </w:rPr>
              <w:t>的配方</w:t>
            </w:r>
            <w:r>
              <w:rPr>
                <w:rFonts w:hint="eastAsia" w:ascii="宋体"/>
              </w:rPr>
              <w:t>、</w:t>
            </w:r>
            <w:r>
              <w:rPr>
                <w:rFonts w:ascii="宋体"/>
              </w:rPr>
              <w:t>工单和生产报表；</w:t>
            </w:r>
          </w:p>
          <w:p>
            <w:pPr>
              <w:pStyle w:val="9"/>
              <w:spacing w:line="360" w:lineRule="auto"/>
              <w:ind w:left="390" w:firstLine="0" w:firstLineChars="0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  <w:r>
              <w:rPr>
                <w:rFonts w:ascii="宋体"/>
              </w:rPr>
              <w:t>理权限登录时，只</w:t>
            </w:r>
            <w:r>
              <w:rPr>
                <w:rFonts w:hint="eastAsia" w:ascii="宋体"/>
              </w:rPr>
              <w:t>能</w:t>
            </w:r>
            <w:r>
              <w:rPr>
                <w:rFonts w:ascii="宋体"/>
              </w:rPr>
              <w:t>看到</w:t>
            </w:r>
            <w:r>
              <w:rPr>
                <w:rFonts w:hint="eastAsia" w:ascii="宋体"/>
              </w:rPr>
              <w:t>“经理”类别</w:t>
            </w:r>
            <w:r>
              <w:rPr>
                <w:rFonts w:ascii="宋体"/>
              </w:rPr>
              <w:t>的</w:t>
            </w:r>
            <w:r>
              <w:rPr>
                <w:rFonts w:hint="eastAsia" w:ascii="宋体"/>
              </w:rPr>
              <w:t>配</w:t>
            </w:r>
            <w:r>
              <w:rPr>
                <w:rFonts w:ascii="宋体"/>
              </w:rPr>
              <w:t>方、工单，</w:t>
            </w:r>
            <w:r>
              <w:rPr>
                <w:rFonts w:ascii="宋体"/>
                <w:b/>
              </w:rPr>
              <w:t>屏蔽所有生产报表菜单</w:t>
            </w:r>
            <w:r>
              <w:rPr>
                <w:rFonts w:hint="eastAsia" w:ascii="宋体"/>
                <w:b/>
                <w:lang w:eastAsia="zh-CN"/>
              </w:rPr>
              <w:t>，保留异常记录报表</w:t>
            </w:r>
            <w:r>
              <w:rPr>
                <w:rFonts w:hint="eastAsia" w:ascii="宋体"/>
              </w:rPr>
              <w:t>；</w:t>
            </w:r>
          </w:p>
          <w:p>
            <w:pPr>
              <w:pStyle w:val="9"/>
              <w:spacing w:line="360" w:lineRule="auto"/>
              <w:ind w:left="390" w:firstLine="0" w:firstLineChars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机</w:t>
            </w:r>
            <w:r>
              <w:rPr>
                <w:rFonts w:ascii="宋体"/>
              </w:rPr>
              <w:t>台管理员登录时，能看到所有的</w:t>
            </w:r>
            <w:r>
              <w:rPr>
                <w:rFonts w:hint="eastAsia" w:ascii="宋体"/>
              </w:rPr>
              <w:t>配</w:t>
            </w:r>
            <w:r>
              <w:rPr>
                <w:rFonts w:ascii="宋体"/>
              </w:rPr>
              <w:t>方、工单及报表；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NIKE验</w:t>
            </w:r>
            <w:r>
              <w:rPr>
                <w:rFonts w:ascii="宋体"/>
              </w:rPr>
              <w:t>厂时，</w:t>
            </w:r>
            <w:r>
              <w:rPr>
                <w:rFonts w:hint="eastAsia" w:ascii="宋体"/>
              </w:rPr>
              <w:t>登</w:t>
            </w:r>
            <w:r>
              <w:rPr>
                <w:rFonts w:ascii="宋体"/>
              </w:rPr>
              <w:t>录经理权限，</w:t>
            </w:r>
            <w:r>
              <w:rPr>
                <w:rFonts w:hint="eastAsia" w:ascii="宋体"/>
              </w:rPr>
              <w:t>打</w:t>
            </w:r>
            <w:r>
              <w:rPr>
                <w:rFonts w:ascii="宋体"/>
              </w:rPr>
              <w:t>开</w:t>
            </w:r>
            <w:r>
              <w:rPr>
                <w:rFonts w:hint="eastAsia" w:ascii="宋体"/>
              </w:rPr>
              <w:t>配</w:t>
            </w:r>
            <w:r>
              <w:rPr>
                <w:rFonts w:ascii="宋体"/>
              </w:rPr>
              <w:t>方只看到</w:t>
            </w:r>
            <w:r>
              <w:rPr>
                <w:rFonts w:hint="eastAsia" w:ascii="宋体"/>
              </w:rPr>
              <w:t>NIKE配</w:t>
            </w:r>
            <w:r>
              <w:rPr>
                <w:rFonts w:ascii="宋体"/>
              </w:rPr>
              <w:t>方</w:t>
            </w:r>
            <w:r>
              <w:rPr>
                <w:rFonts w:hint="eastAsia" w:ascii="宋体"/>
              </w:rPr>
              <w:t>(经</w:t>
            </w:r>
            <w:r>
              <w:rPr>
                <w:rFonts w:ascii="宋体"/>
              </w:rPr>
              <w:t>理</w:t>
            </w:r>
            <w:r>
              <w:rPr>
                <w:rFonts w:hint="eastAsia" w:ascii="宋体"/>
              </w:rPr>
              <w:t>类别</w:t>
            </w:r>
            <w:r>
              <w:rPr>
                <w:rFonts w:ascii="宋体"/>
              </w:rPr>
              <w:t>配方</w:t>
            </w:r>
            <w:r>
              <w:rPr>
                <w:rFonts w:hint="eastAsia" w:ascii="宋体"/>
              </w:rPr>
              <w:t>)，</w:t>
            </w:r>
            <w:r>
              <w:rPr>
                <w:rFonts w:ascii="宋体"/>
              </w:rPr>
              <w:t>开立工单只能选取</w:t>
            </w:r>
            <w:r>
              <w:rPr>
                <w:rFonts w:hint="eastAsia" w:ascii="宋体"/>
              </w:rPr>
              <w:t>NIKE配</w:t>
            </w:r>
            <w:r>
              <w:rPr>
                <w:rFonts w:ascii="宋体"/>
              </w:rPr>
              <w:t>方，工单列表中也只显示</w:t>
            </w:r>
            <w:r>
              <w:rPr>
                <w:rFonts w:hint="eastAsia" w:ascii="宋体"/>
              </w:rPr>
              <w:t>NIKE工</w:t>
            </w:r>
            <w:r>
              <w:rPr>
                <w:rFonts w:ascii="宋体"/>
              </w:rPr>
              <w:t>单，不显</w:t>
            </w:r>
            <w:r>
              <w:rPr>
                <w:rFonts w:hint="eastAsia" w:ascii="宋体"/>
              </w:rPr>
              <w:t>示</w:t>
            </w:r>
            <w:r>
              <w:rPr>
                <w:rFonts w:ascii="宋体"/>
              </w:rPr>
              <w:t>生产报表，跟</w:t>
            </w:r>
            <w:r>
              <w:rPr>
                <w:rFonts w:hint="eastAsia" w:ascii="宋体"/>
              </w:rPr>
              <w:t>NIKE解释</w:t>
            </w:r>
            <w:r>
              <w:rPr>
                <w:rFonts w:ascii="宋体"/>
              </w:rPr>
              <w:t>说此机器只能生产、防错，没有生产报表记录功能。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方案确认客户端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确认日期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业务员</w:t>
            </w:r>
          </w:p>
        </w:tc>
        <w:tc>
          <w:tcPr>
            <w:tcW w:w="327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审核</w:t>
            </w:r>
          </w:p>
        </w:tc>
        <w:tc>
          <w:tcPr>
            <w:tcW w:w="2991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 w:cs="PMingLiU"/>
                <w:b/>
                <w:sz w:val="24"/>
              </w:rPr>
              <w:t>方案意见</w:t>
            </w:r>
          </w:p>
        </w:tc>
        <w:tc>
          <w:tcPr>
            <w:tcW w:w="8241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ascii="宋体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6"/>
      </w:rPr>
    </w:pPr>
    <w:r>
      <w:rPr>
        <w:lang w:eastAsia="zh-TW"/>
      </w:rPr>
      <w:pict>
        <v:shape id="_x0000_s2049" o:spid="_x0000_s2049" o:spt="75" type="#_x0000_t75" style="position:absolute;left:0pt;margin-left:-0.05pt;margin-top:-22.45pt;height:39.85pt;width:44.45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sz w:val="16"/>
      </w:rPr>
      <w:t>FN: NS190013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C6C13"/>
    <w:multiLevelType w:val="multilevel"/>
    <w:tmpl w:val="734C6C13"/>
    <w:lvl w:ilvl="0" w:tentative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3E8F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0AE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055C"/>
    <w:rsid w:val="00111634"/>
    <w:rsid w:val="00111AA6"/>
    <w:rsid w:val="00112461"/>
    <w:rsid w:val="001126C4"/>
    <w:rsid w:val="00113199"/>
    <w:rsid w:val="001135EE"/>
    <w:rsid w:val="0011384E"/>
    <w:rsid w:val="00113C38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3CE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2554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69D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126F"/>
    <w:rsid w:val="00393006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C91"/>
    <w:rsid w:val="003C2EFD"/>
    <w:rsid w:val="003C3BBF"/>
    <w:rsid w:val="003C6799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90F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0EEB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3F3A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C29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3FA9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478"/>
    <w:rsid w:val="006F27CE"/>
    <w:rsid w:val="006F2909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3C3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29B1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0F71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441"/>
    <w:rsid w:val="00953802"/>
    <w:rsid w:val="009539E2"/>
    <w:rsid w:val="009540EC"/>
    <w:rsid w:val="009542D7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4B10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4A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64C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4AA4"/>
    <w:rsid w:val="00C45B88"/>
    <w:rsid w:val="00C47844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ABE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5DE8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6234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157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A775F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  <w:rsid w:val="12215FCE"/>
    <w:rsid w:val="2FA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 w:locked="1"/>
    <w:lsdException w:qFormat="1" w:unhideWhenUsed="0"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rFonts w:ascii="Calibri Light" w:hAnsi="Calibri Light"/>
      <w:sz w:val="18"/>
      <w:szCs w:val="18"/>
    </w:rPr>
  </w:style>
  <w:style w:type="paragraph" w:styleId="3">
    <w:name w:val="footer"/>
    <w:basedOn w:val="1"/>
    <w:link w:val="12"/>
    <w:semiHidden/>
    <w:qFormat/>
    <w:lock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1"/>
    <w:semiHidden/>
    <w:qFormat/>
    <w:lock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99"/>
    <w:rPr>
      <w:rFonts w:cs="Times New Roman"/>
      <w:b/>
      <w:bCs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link w:val="2"/>
    <w:qFormat/>
    <w:locked/>
    <w:uiPriority w:val="99"/>
    <w:rPr>
      <w:rFonts w:ascii="Calibri Light" w:hAnsi="Calibri Light" w:cs="Times New Roman"/>
      <w:kern w:val="2"/>
      <w:sz w:val="18"/>
      <w:szCs w:val="18"/>
    </w:rPr>
  </w:style>
  <w:style w:type="character" w:customStyle="1" w:styleId="11">
    <w:name w:val="页眉 Char"/>
    <w:link w:val="4"/>
    <w:semiHidden/>
    <w:qFormat/>
    <w:locked/>
    <w:uiPriority w:val="99"/>
    <w:rPr>
      <w:rFonts w:cs="Times New Roman"/>
      <w:sz w:val="20"/>
      <w:szCs w:val="20"/>
      <w:lang w:eastAsia="zh-CN"/>
    </w:rPr>
  </w:style>
  <w:style w:type="character" w:customStyle="1" w:styleId="12">
    <w:name w:val="页脚 Char"/>
    <w:link w:val="3"/>
    <w:semiHidden/>
    <w:qFormat/>
    <w:locked/>
    <w:uiPriority w:val="99"/>
    <w:rPr>
      <w:rFonts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72</Words>
  <Characters>413</Characters>
  <Lines>3</Lines>
  <Paragraphs>1</Paragraphs>
  <TotalTime>5</TotalTime>
  <ScaleCrop>false</ScaleCrop>
  <LinksUpToDate>false</LinksUpToDate>
  <CharactersWithSpaces>484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2019-04-06T00:15:00Z</dcterms:created>
  <dc:creator>pj187</dc:creator>
  <cp:lastModifiedBy>lenovo</cp:lastModifiedBy>
  <cp:lastPrinted>2017-01-07T08:34:00Z</cp:lastPrinted>
  <dcterms:modified xsi:type="dcterms:W3CDTF">2019-12-06T00:19:28Z</dcterms:modified>
  <dc:title>60708-双微磅串联运转解决方案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